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ptos" w:hAnsi="Aptos" w:eastAsia="Aptos"/>
          <w:b/>
          <w:i w:val="0"/>
          <w:color w:val="0E1B2A"/>
          <w:sz w:val="56"/>
        </w:rPr>
        <w:t>Listing Fraud Pre-Check</w:t>
      </w:r>
    </w:p>
    <w:p>
      <w:pPr>
        <w:spacing w:after="160"/>
      </w:pPr>
      <w:r>
        <w:rPr>
          <w:rFonts w:ascii="Aptos" w:hAnsi="Aptos" w:eastAsia="Aptos"/>
          <w:b w:val="0"/>
          <w:i w:val="0"/>
          <w:color w:val="516273"/>
          <w:sz w:val="26"/>
        </w:rPr>
        <w:t>Designing a human-in-the-loop seller verification workflow to identify listing risk before a property is marketed.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c>
          <w:tcPr>
            <w:tcW w:type="dxa" w:w="3485"/>
            <w:shd w:fill="F6F8FA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 w:eastAsia="Aptos"/>
                <w:b/>
                <w:i w:val="0"/>
                <w:color w:val="1A9A96"/>
                <w:sz w:val="15"/>
              </w:rPr>
              <w:t>PRODUCT</w:t>
            </w:r>
          </w:p>
          <w:p>
            <w:r>
              <w:rPr>
                <w:rFonts w:ascii="Aptos" w:hAnsi="Aptos" w:eastAsia="Aptos"/>
                <w:b/>
                <w:i w:val="0"/>
                <w:color w:val="1B2A38"/>
                <w:sz w:val="18"/>
              </w:rPr>
              <w:t>Seller Verification &amp; Listing Fraud Pre-Check Platform</w:t>
            </w:r>
          </w:p>
        </w:tc>
        <w:tc>
          <w:tcPr>
            <w:tcW w:type="dxa" w:w="3485"/>
            <w:shd w:fill="F6F8FA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 w:eastAsia="Aptos"/>
                <w:b/>
                <w:i w:val="0"/>
                <w:color w:val="1A9A96"/>
                <w:sz w:val="15"/>
              </w:rPr>
              <w:t>ROLE</w:t>
            </w:r>
          </w:p>
          <w:p>
            <w:r>
              <w:rPr>
                <w:rFonts w:ascii="Aptos" w:hAnsi="Aptos" w:eastAsia="Aptos"/>
                <w:b/>
                <w:i w:val="0"/>
                <w:color w:val="1B2A38"/>
                <w:sz w:val="18"/>
              </w:rPr>
              <w:t>Product concept, workflow architecture, decisioning design, requirements, AI-assisted MVP</w:t>
            </w:r>
          </w:p>
        </w:tc>
        <w:tc>
          <w:tcPr>
            <w:tcW w:type="dxa" w:w="3485"/>
            <w:shd w:fill="F6F8FA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 w:eastAsia="Aptos"/>
                <w:b/>
                <w:i w:val="0"/>
                <w:color w:val="1A9A96"/>
                <w:sz w:val="15"/>
              </w:rPr>
              <w:t>STAGE</w:t>
            </w:r>
          </w:p>
          <w:p>
            <w:r>
              <w:rPr>
                <w:rFonts w:ascii="Aptos" w:hAnsi="Aptos" w:eastAsia="Aptos"/>
                <w:b/>
                <w:i w:val="0"/>
                <w:color w:val="1B2A38"/>
                <w:sz w:val="18"/>
              </w:rPr>
              <w:t>Working MVP / Pilot Ready</w:t>
            </w:r>
          </w:p>
        </w:tc>
      </w:tr>
    </w:tbl>
    <w:p>
      <w:pPr>
        <w:spacing w:after="40"/>
      </w:pPr>
    </w:p>
    <w:p>
      <w:r>
        <w:drawing>
          <wp:inline xmlns:a="http://schemas.openxmlformats.org/drawingml/2006/main" xmlns:pic="http://schemas.openxmlformats.org/drawingml/2006/picture">
            <wp:extent cx="6400800" cy="2667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ro_product_pane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1FAF9"/>
            <w:tcBorders>
              <w:top w:sz="6" w:val="single" w:color="D8E1E8"/>
              <w:left w:sz="6" w:val="single" w:color="D8E1E8"/>
              <w:bottom w:sz="6" w:val="single" w:color="D8E1E8"/>
              <w:right w:sz="6" w:val="single" w:color="D8E1E8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21"/>
              </w:rPr>
              <w:t>Executive summary</w:t>
            </w:r>
          </w:p>
          <w:p>
            <w:r>
              <w:rPr>
                <w:rFonts w:ascii="Aptos" w:hAnsi="Aptos" w:eastAsia="Aptos"/>
                <w:b w:val="0"/>
                <w:i w:val="0"/>
                <w:color w:val="1B2A38"/>
                <w:sz w:val="19"/>
              </w:rPr>
              <w:t>Listing Fraud Pre-Check turns disconnected identity, ownership, and authority information into a structured pre-listing verification workflow. The product does not replace brokers, attorneys, title companies, or fraud investigators; it gives real estate professionals an earlier signal: proceed, review, escalate, or require more documentation.</w:t>
            </w:r>
          </w:p>
        </w:tc>
      </w:tr>
    </w:tbl>
    <w:p>
      <w:pPr>
        <w:spacing w:after="40"/>
      </w:pPr>
    </w:p>
    <w:p>
      <w:pPr>
        <w:spacing w:after="40" w:line="259" w:lineRule="auto"/>
      </w:pPr>
      <w:r>
        <w:rPr>
          <w:rFonts w:ascii="Aptos" w:hAnsi="Aptos" w:eastAsia="Aptos"/>
          <w:b/>
          <w:i w:val="0"/>
          <w:color w:val="0E1B2A"/>
          <w:sz w:val="19"/>
        </w:rPr>
        <w:t>What this demonstrates: 0-to-1 product strategy, risk decisioning, human-in-the-loop design, privacy-aware requirements, and a working MVP that can be tested with real estate operators.</w:t>
      </w:r>
    </w:p>
    <w:p>
      <w:r>
        <w:br w:type="page"/>
      </w:r>
    </w:p>
    <w:p>
      <w:pPr>
        <w:spacing w:after="40"/>
      </w:pPr>
      <w:r>
        <w:rPr>
          <w:rFonts w:ascii="Aptos" w:hAnsi="Aptos" w:eastAsia="Aptos"/>
          <w:b/>
          <w:i w:val="0"/>
          <w:color w:val="1A9A96"/>
          <w:sz w:val="16"/>
        </w:rPr>
        <w:t>WHY THIS PRODUCT EXISTS</w:t>
      </w:r>
    </w:p>
    <w:p>
      <w:pPr>
        <w:spacing w:after="120"/>
      </w:pPr>
      <w:r>
        <w:rPr>
          <w:rFonts w:ascii="Aptos" w:hAnsi="Aptos" w:eastAsia="Aptos"/>
          <w:b/>
          <w:i w:val="0"/>
          <w:color w:val="0E1B2A"/>
          <w:sz w:val="44"/>
        </w:rPr>
        <w:t>1. The Problem</w:t>
      </w:r>
    </w:p>
    <w:p>
      <w:pPr>
        <w:spacing w:after="120" w:line="259" w:lineRule="auto"/>
      </w:pPr>
      <w:r>
        <w:rPr>
          <w:rFonts w:ascii="Aptos" w:hAnsi="Aptos" w:eastAsia="Aptos"/>
          <w:b w:val="0"/>
          <w:i w:val="0"/>
          <w:color w:val="1B2A38"/>
          <w:sz w:val="20"/>
        </w:rPr>
        <w:t>Most real estate transaction controls become strongest after a property is already under contract. But seller impersonation and fraudulent listing activity can begin much earlier - when someone first approaches an agent claiming the right to sell a property.</w:t>
      </w:r>
    </w:p>
    <w:p>
      <w:pPr>
        <w:spacing w:after="120" w:line="259" w:lineRule="auto"/>
      </w:pPr>
      <w:r>
        <w:rPr>
          <w:rFonts w:ascii="Aptos" w:hAnsi="Aptos" w:eastAsia="Aptos"/>
          <w:b w:val="0"/>
          <w:i w:val="0"/>
          <w:color w:val="1B2A38"/>
          <w:sz w:val="20"/>
        </w:rPr>
        <w:t>By that point, an agent or brokerage may already be preparing listing agreements, researching price, entering MLS data, marketing the property, coordinating showings, and communicating with attorneys or title companies.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FF7E6"/>
            <w:tcBorders>
              <w:top w:sz="6" w:val="single" w:color="D8E1E8"/>
              <w:left w:sz="6" w:val="single" w:color="D8E1E8"/>
              <w:bottom w:sz="6" w:val="single" w:color="D8E1E8"/>
              <w:right w:sz="6" w:val="single" w:color="D8E1E8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21"/>
              </w:rPr>
              <w:t>Product question</w:t>
            </w:r>
          </w:p>
          <w:p>
            <w:r>
              <w:rPr>
                <w:rFonts w:ascii="Aptos" w:hAnsi="Aptos" w:eastAsia="Aptos"/>
                <w:b w:val="0"/>
                <w:i w:val="0"/>
                <w:color w:val="1B2A38"/>
                <w:sz w:val="19"/>
              </w:rPr>
              <w:t>Can an agent or brokerage establish a reasonable level of confidence that the person requesting a listing is both who they claim to be and connected to the property they are attempting to sell - before the listing is marketed?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Aptos" w:hAnsi="Aptos" w:eastAsia="Aptos"/>
          <w:b/>
          <w:i w:val="0"/>
          <w:color w:val="0E1B2A"/>
          <w:sz w:val="32"/>
        </w:rPr>
        <w:t>Primary users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5227"/>
            <w:shd w:fill="0E1B2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User</w:t>
            </w:r>
          </w:p>
        </w:tc>
        <w:tc>
          <w:tcPr>
            <w:tcW w:type="dxa" w:w="5227"/>
            <w:shd w:fill="0E1B2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Need / role in workflow</w:t>
            </w:r>
          </w:p>
        </w:tc>
      </w:tr>
      <w:tr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60" w:type="dxa"/>
              <w:start w:w="120" w:type="dxa"/>
              <w:bottom w:w="60" w:type="dxa"/>
              <w:end w:w="120" w:type="dxa"/>
            </w:tcMar>
            <w:shd w:fill="F6F8FA"/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8"/>
              </w:rPr>
              <w:t>Agent</w:t>
            </w:r>
          </w:p>
        </w:tc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>
              <w:rPr>
                <w:rFonts w:ascii="Aptos" w:hAnsi="Aptos" w:eastAsia="Aptos"/>
                <w:b w:val="0"/>
                <w:i w:val="0"/>
                <w:color w:val="1B2A38"/>
                <w:sz w:val="17"/>
              </w:rPr>
              <w:t>Initiates the verification process and needs a clear answer without becoming a fraud investigator.</w:t>
            </w:r>
          </w:p>
        </w:tc>
      </w:tr>
      <w:tr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60" w:type="dxa"/>
              <w:start w:w="120" w:type="dxa"/>
              <w:bottom w:w="60" w:type="dxa"/>
              <w:end w:w="120" w:type="dxa"/>
            </w:tcMar>
            <w:shd w:fill="F6F8FA"/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8"/>
              </w:rPr>
              <w:t>Broker / Administrator</w:t>
            </w:r>
          </w:p>
        </w:tc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>
              <w:rPr>
                <w:rFonts w:ascii="Aptos" w:hAnsi="Aptos" w:eastAsia="Aptos"/>
                <w:b w:val="0"/>
                <w:i w:val="0"/>
                <w:color w:val="1B2A38"/>
                <w:sz w:val="17"/>
              </w:rPr>
              <w:t>Reviews exceptions, evaluates documentation, and decides whether a questionable listing may proceed.</w:t>
            </w:r>
          </w:p>
        </w:tc>
      </w:tr>
      <w:tr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60" w:type="dxa"/>
              <w:start w:w="120" w:type="dxa"/>
              <w:bottom w:w="60" w:type="dxa"/>
              <w:end w:w="120" w:type="dxa"/>
            </w:tcMar>
            <w:shd w:fill="F6F8FA"/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8"/>
              </w:rPr>
              <w:t>MLS / Association Reviewer</w:t>
            </w:r>
          </w:p>
        </w:tc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>
              <w:rPr>
                <w:rFonts w:ascii="Aptos" w:hAnsi="Aptos" w:eastAsia="Aptos"/>
                <w:b w:val="0"/>
                <w:i w:val="0"/>
                <w:color w:val="1B2A38"/>
                <w:sz w:val="17"/>
              </w:rPr>
              <w:t>Can use the structured verification record in a centralized listing-review process.</w:t>
            </w:r>
          </w:p>
        </w:tc>
      </w:tr>
      <w:tr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60" w:type="dxa"/>
              <w:start w:w="120" w:type="dxa"/>
              <w:bottom w:w="60" w:type="dxa"/>
              <w:end w:w="120" w:type="dxa"/>
            </w:tcMar>
            <w:shd w:fill="F6F8FA"/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8"/>
              </w:rPr>
              <w:t>Seller</w:t>
            </w:r>
          </w:p>
        </w:tc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>
              <w:rPr>
                <w:rFonts w:ascii="Aptos" w:hAnsi="Aptos" w:eastAsia="Aptos"/>
                <w:b w:val="0"/>
                <w:i w:val="0"/>
                <w:color w:val="1B2A38"/>
                <w:sz w:val="17"/>
              </w:rPr>
              <w:t>Completes identity verification and provides information needed to establish relationship to the property.</w:t>
            </w:r>
          </w:p>
        </w:tc>
      </w:tr>
      <w:tr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60" w:type="dxa"/>
              <w:start w:w="120" w:type="dxa"/>
              <w:bottom w:w="60" w:type="dxa"/>
              <w:end w:w="120" w:type="dxa"/>
            </w:tcMar>
            <w:shd w:fill="F6F8FA"/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8"/>
              </w:rPr>
              <w:t>Entity Representative</w:t>
            </w:r>
          </w:p>
        </w:tc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>
              <w:rPr>
                <w:rFonts w:ascii="Aptos" w:hAnsi="Aptos" w:eastAsia="Aptos"/>
                <w:b w:val="0"/>
                <w:i w:val="0"/>
                <w:color w:val="1B2A38"/>
                <w:sz w:val="17"/>
              </w:rPr>
              <w:t>Provides authority documentation for LLCs, corporations, trusts, estates, or similar ownership structures.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ptos" w:hAnsi="Aptos" w:eastAsia="Aptos"/>
          <w:b/>
          <w:i w:val="0"/>
          <w:color w:val="1A9A96"/>
          <w:sz w:val="16"/>
        </w:rPr>
        <w:t>FROM INFORMAL JUDGMENT TO REPEATABLE PROCESS</w:t>
      </w:r>
    </w:p>
    <w:p>
      <w:pPr>
        <w:spacing w:after="120"/>
      </w:pPr>
      <w:r>
        <w:rPr>
          <w:rFonts w:ascii="Aptos" w:hAnsi="Aptos" w:eastAsia="Aptos"/>
          <w:b/>
          <w:i w:val="0"/>
          <w:color w:val="0E1B2A"/>
          <w:sz w:val="44"/>
        </w:rPr>
        <w:t>2. End-to-End Workflow</w:t>
      </w:r>
    </w:p>
    <w:p>
      <w:pPr>
        <w:spacing w:after="120" w:line="259" w:lineRule="auto"/>
      </w:pPr>
      <w:r>
        <w:rPr>
          <w:rFonts w:ascii="Aptos" w:hAnsi="Aptos" w:eastAsia="Aptos"/>
          <w:b w:val="0"/>
          <w:i w:val="0"/>
          <w:color w:val="1B2A38"/>
          <w:sz w:val="20"/>
        </w:rPr>
        <w:t>The workflow is designed around the actual listing approval path, not around a standalone ID check. It creates a verification record, sequences the checks, routes ambiguous cases to human review, and preserves a decision trail.</w:t>
      </w:r>
    </w:p>
    <w:p>
      <w:r>
        <w:drawing>
          <wp:inline xmlns:a="http://schemas.openxmlformats.org/drawingml/2006/main" xmlns:pic="http://schemas.openxmlformats.org/drawingml/2006/picture">
            <wp:extent cx="6492240" cy="177682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flow_diagram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17768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Aptos" w:hAnsi="Aptos" w:eastAsia="Aptos"/>
          <w:b/>
          <w:i w:val="0"/>
          <w:color w:val="0E1B2A"/>
          <w:sz w:val="32"/>
        </w:rPr>
        <w:t>Key design principle</w:t>
      </w:r>
    </w:p>
    <w:p>
      <w:pPr>
        <w:spacing w:after="120" w:line="259" w:lineRule="auto"/>
      </w:pPr>
      <w:r>
        <w:rPr>
          <w:rFonts w:ascii="Aptos" w:hAnsi="Aptos" w:eastAsia="Aptos"/>
          <w:b w:val="0"/>
          <w:i w:val="0"/>
          <w:color w:val="1B2A38"/>
          <w:sz w:val="20"/>
        </w:rPr>
        <w:t>Identity first, property data second. A failed identity result stops the workflow before unnecessary property-data calls or additional processing occur. That sequencing reduces vendor cost and avoids continuing downstream verification for identities that already failed.</w:t>
      </w:r>
    </w:p>
    <w:p>
      <w:pPr>
        <w:spacing w:after="120"/>
      </w:pPr>
      <w:r>
        <w:rPr>
          <w:rFonts w:ascii="Aptos" w:hAnsi="Aptos" w:eastAsia="Aptos"/>
          <w:b/>
          <w:i w:val="0"/>
          <w:color w:val="0E1B2A"/>
          <w:sz w:val="32"/>
        </w:rPr>
        <w:t>Audit trail</w:t>
      </w:r>
    </w:p>
    <w:p>
      <w:pPr>
        <w:pStyle w:val="ListBullet"/>
        <w:spacing w:after="60" w:line="252" w:lineRule="auto"/>
      </w:pPr>
      <w:r>
        <w:rPr>
          <w:rFonts w:ascii="Aptos" w:hAnsi="Aptos" w:eastAsia="Aptos"/>
          <w:b w:val="0"/>
          <w:i w:val="0"/>
          <w:color w:val="1B2A38"/>
          <w:sz w:val="18"/>
        </w:rPr>
        <w:t>what was checked and which steps completed</w:t>
      </w:r>
    </w:p>
    <w:p>
      <w:pPr>
        <w:pStyle w:val="ListBullet"/>
        <w:spacing w:after="60" w:line="252" w:lineRule="auto"/>
      </w:pPr>
      <w:r>
        <w:rPr>
          <w:rFonts w:ascii="Aptos" w:hAnsi="Aptos" w:eastAsia="Aptos"/>
          <w:b w:val="0"/>
          <w:i w:val="0"/>
          <w:color w:val="1B2A38"/>
          <w:sz w:val="18"/>
        </w:rPr>
        <w:t>summarized vendor results and system recommendation</w:t>
      </w:r>
    </w:p>
    <w:p>
      <w:pPr>
        <w:pStyle w:val="ListBullet"/>
        <w:spacing w:after="60" w:line="252" w:lineRule="auto"/>
      </w:pPr>
      <w:r>
        <w:rPr>
          <w:rFonts w:ascii="Aptos" w:hAnsi="Aptos" w:eastAsia="Aptos"/>
          <w:b w:val="0"/>
          <w:i w:val="0"/>
          <w:color w:val="1B2A38"/>
          <w:sz w:val="18"/>
        </w:rPr>
        <w:t>whether human review occurred and who made the final decision</w:t>
      </w:r>
    </w:p>
    <w:p>
      <w:pPr>
        <w:pStyle w:val="ListBullet"/>
        <w:spacing w:after="60" w:line="252" w:lineRule="auto"/>
      </w:pPr>
      <w:r>
        <w:rPr>
          <w:rFonts w:ascii="Aptos" w:hAnsi="Aptos" w:eastAsia="Aptos"/>
          <w:b w:val="0"/>
          <w:i w:val="0"/>
          <w:color w:val="1B2A38"/>
          <w:sz w:val="18"/>
        </w:rPr>
        <w:t>supporting notes, documentation, and final disposition</w:t>
      </w:r>
    </w:p>
    <w:p>
      <w:r>
        <w:br w:type="page"/>
      </w:r>
    </w:p>
    <w:p>
      <w:pPr>
        <w:spacing w:after="40"/>
      </w:pPr>
      <w:r>
        <w:rPr>
          <w:rFonts w:ascii="Aptos" w:hAnsi="Aptos" w:eastAsia="Aptos"/>
          <w:b/>
          <w:i w:val="0"/>
          <w:color w:val="1A9A96"/>
          <w:sz w:val="16"/>
        </w:rPr>
        <w:t>TURNING VERIFICATION DATA INTO AN OPERATIONAL DECISION</w:t>
      </w:r>
    </w:p>
    <w:p>
      <w:pPr>
        <w:spacing w:after="120"/>
      </w:pPr>
      <w:r>
        <w:rPr>
          <w:rFonts w:ascii="Aptos" w:hAnsi="Aptos" w:eastAsia="Aptos"/>
          <w:b/>
          <w:i w:val="0"/>
          <w:color w:val="0E1B2A"/>
          <w:sz w:val="44"/>
        </w:rPr>
        <w:t>3. Decisioning Architecture</w:t>
      </w:r>
    </w:p>
    <w:p>
      <w:pPr>
        <w:spacing w:after="120" w:line="259" w:lineRule="auto"/>
      </w:pPr>
      <w:r>
        <w:rPr>
          <w:rFonts w:ascii="Aptos" w:hAnsi="Aptos" w:eastAsia="Aptos"/>
          <w:b w:val="0"/>
          <w:i w:val="0"/>
          <w:color w:val="1B2A38"/>
          <w:sz w:val="20"/>
        </w:rPr>
        <w:t>Individual services do not answer the full business question. An identity provider can determine whether a person appears to match an identity. A property-data provider can identify an owner of record. Neither independently answers whether a brokerage should be comfortable moving forward with the listing.</w:t>
      </w:r>
    </w:p>
    <w:p>
      <w:r>
        <w:drawing>
          <wp:inline xmlns:a="http://schemas.openxmlformats.org/drawingml/2006/main" xmlns:pic="http://schemas.openxmlformats.org/drawingml/2006/picture">
            <wp:extent cx="6492240" cy="280191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cision_matri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019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259" w:lineRule="auto"/>
      </w:pPr>
      <w:r>
        <w:rPr>
          <w:rFonts w:ascii="Aptos" w:hAnsi="Aptos" w:eastAsia="Aptos"/>
          <w:b/>
          <w:i w:val="0"/>
          <w:color w:val="0E1B2A"/>
          <w:sz w:val="19"/>
        </w:rPr>
        <w:t>The platform is intentionally designed to preserve uncertainty. "Unable to Verify" is a valid product outcome when available data cannot produce a reliable result. The system should not manufacture certainty from incomplete, unavailable, or inconclusive information.</w:t>
      </w:r>
    </w:p>
    <w:p>
      <w:r>
        <w:br w:type="page"/>
      </w:r>
    </w:p>
    <w:p>
      <w:pPr>
        <w:spacing w:after="40"/>
      </w:pPr>
      <w:r>
        <w:rPr>
          <w:rFonts w:ascii="Aptos" w:hAnsi="Aptos" w:eastAsia="Aptos"/>
          <w:b/>
          <w:i w:val="0"/>
          <w:color w:val="1A9A96"/>
          <w:sz w:val="16"/>
        </w:rPr>
        <w:t>AUTOMATION SUPPORTS JUDGMENT - IT DOES NOT REPLACE IT</w:t>
      </w:r>
    </w:p>
    <w:p>
      <w:pPr>
        <w:spacing w:after="120"/>
      </w:pPr>
      <w:r>
        <w:rPr>
          <w:rFonts w:ascii="Aptos" w:hAnsi="Aptos" w:eastAsia="Aptos"/>
          <w:b/>
          <w:i w:val="0"/>
          <w:color w:val="0E1B2A"/>
          <w:sz w:val="44"/>
        </w:rPr>
        <w:t>4. Human-in-the-Loop &amp; Privacy Controls</w:t>
      </w:r>
    </w:p>
    <w:p>
      <w:pPr>
        <w:spacing w:after="120" w:line="259" w:lineRule="auto"/>
      </w:pPr>
      <w:r>
        <w:rPr>
          <w:rFonts w:ascii="Aptos" w:hAnsi="Aptos" w:eastAsia="Aptos"/>
          <w:b w:val="0"/>
          <w:i w:val="0"/>
          <w:color w:val="1B2A38"/>
          <w:sz w:val="20"/>
        </w:rPr>
        <w:t>Real estate ownership and seller authority can be complicated. The product automates evidence gathering, comparison, and risk classification while preserving broker or administrator judgment when evidence is incomplete or contradictory.</w:t>
      </w:r>
    </w:p>
    <w:p>
      <w:r>
        <w:drawing>
          <wp:inline xmlns:a="http://schemas.openxmlformats.org/drawingml/2006/main" xmlns:pic="http://schemas.openxmlformats.org/drawingml/2006/picture">
            <wp:extent cx="6492240" cy="273357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sponsibility_mode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7335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Aptos" w:hAnsi="Aptos" w:eastAsia="Aptos"/>
          <w:b/>
          <w:i w:val="0"/>
          <w:color w:val="0E1B2A"/>
          <w:sz w:val="32"/>
        </w:rPr>
        <w:t>Privacy by design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5227"/>
            <w:shd w:fill="F6F8FA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8"/>
              </w:rPr>
              <w:t>Data minimization</w:t>
            </w:r>
          </w:p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Store only what is required to operate and document the verification workflow.</w:t>
            </w:r>
          </w:p>
        </w:tc>
        <w:tc>
          <w:tcPr>
            <w:tcW w:type="dxa" w:w="5227"/>
            <w:shd w:fill="F6F8FA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8"/>
              </w:rPr>
              <w:t>No unnecessary raw ID data</w:t>
            </w:r>
          </w:p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Avoid retaining complete identity documents, raw DOB information, or other sensitive information when a summarized result is sufficient.</w:t>
            </w:r>
          </w:p>
        </w:tc>
      </w:tr>
      <w:tr>
        <w:tc>
          <w:tcPr>
            <w:tcW w:type="dxa" w:w="5227"/>
            <w:shd w:fill="F6F8FA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8"/>
              </w:rPr>
              <w:t>Server-side vendor communication</w:t>
            </w:r>
          </w:p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Sensitive vendor interactions are designed to occur through server-side services.</w:t>
            </w:r>
          </w:p>
        </w:tc>
        <w:tc>
          <w:tcPr>
            <w:tcW w:type="dxa" w:w="5227"/>
            <w:shd w:fill="F6F8FA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8"/>
              </w:rPr>
              <w:t>Vendor-result summaries</w:t>
            </w:r>
          </w:p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Store actionable verification states and audit information rather than duplicating complete vendor datasets.</w:t>
            </w:r>
          </w:p>
        </w:tc>
      </w:tr>
      <w:tr>
        <w:tc>
          <w:tcPr>
            <w:tcW w:type="dxa" w:w="5227"/>
            <w:shd w:fill="F6F8FA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8"/>
              </w:rPr>
              <w:t>Role-based access</w:t>
            </w:r>
          </w:p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Restrict administrative functions and sensitive verification information based on user role.</w:t>
            </w:r>
          </w:p>
        </w:tc>
        <w:tc>
          <w:tcPr>
            <w:tcW w:type="dxa" w:w="5227"/>
            <w:shd w:fill="F6F8FA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8"/>
              </w:rPr>
              <w:t>Auditability</w:t>
            </w:r>
          </w:p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Record workflow events and review decisions so the result can be understood later.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ptos" w:hAnsi="Aptos" w:eastAsia="Aptos"/>
          <w:b/>
          <w:i w:val="0"/>
          <w:color w:val="1A9A96"/>
          <w:sz w:val="16"/>
        </w:rPr>
        <w:t>MINIMUM SYSTEM TO TEST THE WORKFLOW</w:t>
      </w:r>
    </w:p>
    <w:p>
      <w:pPr>
        <w:spacing w:after="120"/>
      </w:pPr>
      <w:r>
        <w:rPr>
          <w:rFonts w:ascii="Aptos" w:hAnsi="Aptos" w:eastAsia="Aptos"/>
          <w:b/>
          <w:i w:val="0"/>
          <w:color w:val="0E1B2A"/>
          <w:sz w:val="44"/>
        </w:rPr>
        <w:t>5. MVP Scope</w:t>
      </w:r>
    </w:p>
    <w:p>
      <w:pPr>
        <w:spacing w:after="120" w:line="259" w:lineRule="auto"/>
      </w:pPr>
      <w:r>
        <w:rPr>
          <w:rFonts w:ascii="Aptos" w:hAnsi="Aptos" w:eastAsia="Aptos"/>
          <w:b w:val="0"/>
          <w:i w:val="0"/>
          <w:color w:val="1B2A38"/>
          <w:sz w:val="20"/>
        </w:rPr>
        <w:t>The MVP was intentionally scoped around the core hypothesis: can seller identity and property ownership data be combined into an operational pre-listing risk decision that agents and brokers can actually use?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5227"/>
            <w:shd w:fill="0E1B2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V1 / MVP capability</w:t>
            </w:r>
          </w:p>
        </w:tc>
        <w:tc>
          <w:tcPr>
            <w:tcW w:type="dxa" w:w="5227"/>
            <w:shd w:fill="0E1B2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 w:eastAsia="Aptos"/>
                <w:b/>
                <w:i w:val="0"/>
                <w:color w:val="FFFFFF"/>
                <w:sz w:val="18"/>
              </w:rPr>
              <w:t>Purpose</w:t>
            </w:r>
          </w:p>
        </w:tc>
      </w:tr>
      <w:tr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55" w:type="dxa"/>
              <w:start w:w="100" w:type="dxa"/>
              <w:bottom w:w="55" w:type="dxa"/>
              <w:end w:w="100" w:type="dxa"/>
            </w:tcMar>
            <w:shd w:fill="F6F8FA"/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7"/>
              </w:rPr>
              <w:t>Seller intake</w:t>
            </w:r>
          </w:p>
        </w:tc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Create and manage a listing-verification request.</w:t>
            </w:r>
          </w:p>
        </w:tc>
      </w:tr>
      <w:tr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55" w:type="dxa"/>
              <w:start w:w="100" w:type="dxa"/>
              <w:bottom w:w="55" w:type="dxa"/>
              <w:end w:w="100" w:type="dxa"/>
            </w:tcMar>
            <w:shd w:fill="F6F8FA"/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7"/>
              </w:rPr>
              <w:t>Identity verification</w:t>
            </w:r>
          </w:p>
        </w:tc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Support basic identity verification with enhanced verification where required.</w:t>
            </w:r>
          </w:p>
        </w:tc>
      </w:tr>
      <w:tr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55" w:type="dxa"/>
              <w:start w:w="100" w:type="dxa"/>
              <w:bottom w:w="55" w:type="dxa"/>
              <w:end w:w="100" w:type="dxa"/>
            </w:tcMar>
            <w:shd w:fill="F6F8FA"/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7"/>
              </w:rPr>
              <w:t>Property ownership retrieval</w:t>
            </w:r>
          </w:p>
        </w:tc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Retrieve ownership information only after identity reaches the threshold.</w:t>
            </w:r>
          </w:p>
        </w:tc>
      </w:tr>
      <w:tr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55" w:type="dxa"/>
              <w:start w:w="100" w:type="dxa"/>
              <w:bottom w:w="55" w:type="dxa"/>
              <w:end w:w="100" w:type="dxa"/>
            </w:tcMar>
            <w:shd w:fill="F6F8FA"/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7"/>
              </w:rPr>
              <w:t>Seller-to-owner matching</w:t>
            </w:r>
          </w:p>
        </w:tc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Compare verified seller information with ownership record.</w:t>
            </w:r>
          </w:p>
        </w:tc>
      </w:tr>
      <w:tr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55" w:type="dxa"/>
              <w:start w:w="100" w:type="dxa"/>
              <w:bottom w:w="55" w:type="dxa"/>
              <w:end w:w="100" w:type="dxa"/>
            </w:tcMar>
            <w:shd w:fill="F6F8FA"/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7"/>
              </w:rPr>
              <w:t>Entity / authority routing</w:t>
            </w:r>
          </w:p>
        </w:tc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Identify cases requiring additional documentation.</w:t>
            </w:r>
          </w:p>
        </w:tc>
      </w:tr>
      <w:tr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55" w:type="dxa"/>
              <w:start w:w="100" w:type="dxa"/>
              <w:bottom w:w="55" w:type="dxa"/>
              <w:end w:w="100" w:type="dxa"/>
            </w:tcMar>
            <w:shd w:fill="F6F8FA"/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7"/>
              </w:rPr>
              <w:t>Four-state decisioning</w:t>
            </w:r>
          </w:p>
        </w:tc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Return Strong Match, Partial Match, No Match, or Unable to Verify.</w:t>
            </w:r>
          </w:p>
        </w:tc>
      </w:tr>
      <w:tr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55" w:type="dxa"/>
              <w:start w:w="100" w:type="dxa"/>
              <w:bottom w:w="55" w:type="dxa"/>
              <w:end w:w="100" w:type="dxa"/>
            </w:tcMar>
            <w:shd w:fill="F6F8FA"/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7"/>
              </w:rPr>
              <w:t>Admin review + audit trail</w:t>
            </w:r>
          </w:p>
        </w:tc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Allow authorized users to review exceptions and preserve an explainable history.</w:t>
            </w:r>
          </w:p>
        </w:tc>
      </w:tr>
      <w:tr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55" w:type="dxa"/>
              <w:start w:w="100" w:type="dxa"/>
              <w:bottom w:w="55" w:type="dxa"/>
              <w:end w:w="100" w:type="dxa"/>
            </w:tcMar>
            <w:shd w:fill="F6F8FA"/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7"/>
              </w:rPr>
              <w:t>Reports + access controls</w:t>
            </w:r>
          </w:p>
        </w:tc>
        <w:tc>
          <w:tcPr>
            <w:tcW w:type="dxa" w:w="5227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55" w:type="dxa"/>
              <w:start w:w="100" w:type="dxa"/>
              <w:bottom w:w="55" w:type="dxa"/>
              <w:end w:w="100" w:type="dxa"/>
            </w:tcMar>
          </w:tcPr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Generate concise result reports and separate normal users from admin functions.</w:t>
            </w:r>
          </w:p>
        </w:tc>
      </w:tr>
    </w:tbl>
    <w:p>
      <w:pPr>
        <w:spacing w:after="120"/>
      </w:pPr>
      <w:r>
        <w:rPr>
          <w:rFonts w:ascii="Aptos" w:hAnsi="Aptos" w:eastAsia="Aptos"/>
          <w:b/>
          <w:i w:val="0"/>
          <w:color w:val="0E1B2A"/>
          <w:sz w:val="32"/>
        </w:rPr>
        <w:t>Implementation and public-demo boundary</w:t>
      </w:r>
    </w:p>
    <w:p>
      <w:pPr>
        <w:spacing w:after="120" w:line="259" w:lineRule="auto"/>
      </w:pPr>
      <w:r>
        <w:rPr>
          <w:rFonts w:ascii="Aptos" w:hAnsi="Aptos" w:eastAsia="Aptos"/>
          <w:b w:val="0"/>
          <w:i w:val="0"/>
          <w:color w:val="1B2A38"/>
          <w:sz w:val="18"/>
        </w:rPr>
        <w:t>The working MVP was developed through an AI-assisted development process using Next.js / React, Supabase, role-based authentication, secure server-side integration patterns, verification reporting, structured audit records, and a multi-tenant-ready architecture. The public demo uses deterministic sample scenarios so the workflow can be demonstrated without transmitting real consumer identity or property information.</w:t>
      </w:r>
    </w:p>
    <w:p>
      <w:r>
        <w:br w:type="page"/>
      </w:r>
    </w:p>
    <w:p>
      <w:pPr>
        <w:spacing w:after="40"/>
      </w:pPr>
      <w:r>
        <w:rPr>
          <w:rFonts w:ascii="Aptos" w:hAnsi="Aptos" w:eastAsia="Aptos"/>
          <w:b/>
          <w:i w:val="0"/>
          <w:color w:val="1A9A96"/>
          <w:sz w:val="16"/>
        </w:rPr>
        <w:t>TESTING IN A REAL LISTING ENVIRONMENT</w:t>
      </w:r>
    </w:p>
    <w:p>
      <w:pPr>
        <w:spacing w:after="120"/>
      </w:pPr>
      <w:r>
        <w:rPr>
          <w:rFonts w:ascii="Aptos" w:hAnsi="Aptos" w:eastAsia="Aptos"/>
          <w:b/>
          <w:i w:val="0"/>
          <w:color w:val="0E1B2A"/>
          <w:sz w:val="44"/>
        </w:rPr>
        <w:t>6. Pilot Strategy &amp; Success Metrics</w:t>
      </w:r>
    </w:p>
    <w:p>
      <w:pPr>
        <w:spacing w:after="120" w:line="259" w:lineRule="auto"/>
      </w:pPr>
      <w:r>
        <w:rPr>
          <w:rFonts w:ascii="Aptos" w:hAnsi="Aptos" w:eastAsia="Aptos"/>
          <w:b w:val="0"/>
          <w:i w:val="0"/>
          <w:color w:val="1B2A38"/>
          <w:sz w:val="20"/>
        </w:rPr>
        <w:t>The next step is a controlled pilot with an MLS, REALTOR association, brokerage, or multi-office real estate organization. The pilot should focus on a defined population of listings rather than requiring organization-wide adoption on day one.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5227"/>
            <w:shd w:fill="F6F8FA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8"/>
              </w:rPr>
              <w:t>Time to verify</w:t>
            </w:r>
          </w:p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Fast enough that fraud prevention does not become a barrier to legitimate listings.</w:t>
            </w:r>
          </w:p>
        </w:tc>
        <w:tc>
          <w:tcPr>
            <w:tcW w:type="dxa" w:w="5227"/>
            <w:shd w:fill="F6F8FA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8"/>
              </w:rPr>
              <w:t>Clean approval rate</w:t>
            </w:r>
          </w:p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Percentage of legitimate listings that produce Strong Match without admin intervention.</w:t>
            </w:r>
          </w:p>
        </w:tc>
      </w:tr>
      <w:tr>
        <w:tc>
          <w:tcPr>
            <w:tcW w:type="dxa" w:w="5227"/>
            <w:shd w:fill="F6F8FA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8"/>
              </w:rPr>
              <w:t>Manual review rate</w:t>
            </w:r>
          </w:p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Exception volume; a key operational metric for usability.</w:t>
            </w:r>
          </w:p>
        </w:tc>
        <w:tc>
          <w:tcPr>
            <w:tcW w:type="dxa" w:w="5227"/>
            <w:shd w:fill="F6F8FA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8"/>
              </w:rPr>
              <w:t>Escalated questionable listings</w:t>
            </w:r>
          </w:p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Discrepancies significant enough to require documentation or investigation.</w:t>
            </w:r>
          </w:p>
        </w:tc>
      </w:tr>
      <w:tr>
        <w:tc>
          <w:tcPr>
            <w:tcW w:type="dxa" w:w="5227"/>
            <w:shd w:fill="F6F8FA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8"/>
              </w:rPr>
              <w:t>Verification completion rate</w:t>
            </w:r>
          </w:p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Whether seller friction is acceptable.</w:t>
            </w:r>
          </w:p>
        </w:tc>
        <w:tc>
          <w:tcPr>
            <w:tcW w:type="dxa" w:w="5227"/>
            <w:shd w:fill="F6F8FA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8"/>
              </w:rPr>
              <w:t>Agent + reviewer adoption</w:t>
            </w:r>
          </w:p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Whether agents initiate the workflow and reviewers understand results quickly.</w:t>
            </w:r>
          </w:p>
        </w:tc>
      </w:tr>
      <w:tr>
        <w:tc>
          <w:tcPr>
            <w:tcW w:type="dxa" w:w="5227"/>
            <w:shd w:fill="F6F8FA"/>
            <w:tcBorders>
              <w:top w:sz="4" w:val="single" w:color="D8E1E8"/>
              <w:left w:sz="4" w:val="single" w:color="D8E1E8"/>
              <w:bottom w:sz="4" w:val="single" w:color="D8E1E8"/>
              <w:right w:sz="4" w:val="single" w:color="D8E1E8"/>
            </w:tcBorders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18"/>
              </w:rPr>
              <w:t>Cost per verification</w:t>
            </w:r>
          </w:p>
          <w:p>
            <w:r>
              <w:rPr>
                <w:rFonts w:ascii="Aptos" w:hAnsi="Aptos" w:eastAsia="Aptos"/>
                <w:b w:val="0"/>
                <w:i w:val="0"/>
                <w:color w:val="1B2A38"/>
                <w:sz w:val="16"/>
              </w:rPr>
              <w:t>Direct cost by outcome and frequency of expensive downstream data calls.</w:t>
            </w:r>
          </w:p>
        </w:tc>
        <w:tc>
          <w:tcPr>
            <w:tcW w:type="dxa" w:w="5227"/>
            <w:shd w:fill="FFFFFF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spacing w:after="120"/>
      </w:pPr>
      <w:r>
        <w:rPr>
          <w:rFonts w:ascii="Aptos" w:hAnsi="Aptos" w:eastAsia="Aptos"/>
          <w:b/>
          <w:i w:val="0"/>
          <w:color w:val="0E1B2A"/>
          <w:sz w:val="32"/>
        </w:rPr>
        <w:t>Outcome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1FAF9"/>
            <w:tcBorders>
              <w:top w:sz="6" w:val="single" w:color="D8E1E8"/>
              <w:left w:sz="6" w:val="single" w:color="D8E1E8"/>
              <w:bottom w:sz="6" w:val="single" w:color="D8E1E8"/>
              <w:right w:sz="6" w:val="single" w:color="D8E1E8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ptos" w:hAnsi="Aptos" w:eastAsia="Aptos"/>
                <w:b/>
                <w:i w:val="0"/>
                <w:color w:val="0E1B2A"/>
                <w:sz w:val="21"/>
              </w:rPr>
              <w:t>What the product proves</w:t>
            </w:r>
          </w:p>
          <w:p>
            <w:r>
              <w:rPr>
                <w:rFonts w:ascii="Aptos" w:hAnsi="Aptos" w:eastAsia="Aptos"/>
                <w:b w:val="0"/>
                <w:i w:val="0"/>
                <w:color w:val="1B2A38"/>
                <w:sz w:val="19"/>
              </w:rPr>
              <w:t>Listing Fraud Pre-Check converts disconnected identity, ownership, and authority data into a simple pre-listing workflow: identity verification + property data + decisioning + human review + auditability. It automates routine cases, surfaces exceptions, and gives brokers and MLS organizations a more defensible process for deciding what happens next.</w:t>
            </w:r>
          </w:p>
        </w:tc>
      </w:tr>
    </w:tbl>
    <w:p>
      <w:pPr>
        <w:spacing w:after="40"/>
      </w:pPr>
    </w:p>
    <w:p>
      <w:pPr>
        <w:spacing w:after="120" w:line="259" w:lineRule="auto"/>
      </w:pPr>
      <w:r>
        <w:rPr>
          <w:rFonts w:ascii="Aptos" w:hAnsi="Aptos" w:eastAsia="Aptos"/>
          <w:b/>
          <w:i w:val="0"/>
          <w:color w:val="0E1B2A"/>
          <w:sz w:val="18"/>
        </w:rPr>
        <w:t>This case study demonstrates the kind of product work I am most interested in: taking a messy real-world workflow, identifying critical decision points, turning them into clear requirements and decision logic, and using modern technology and AI-assisted development to move rapidly from concept to product that can be tested with actual users.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i w:val="0"/>
        <w:color w:val="516273"/>
        <w:sz w:val="15"/>
      </w:rPr>
      <w:t>Prepared as a condensed public-facing case study from the full product requirements and risk decisioning spec.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 w:eastAsia="Aptos"/>
        <w:b w:val="0"/>
        <w:i w:val="0"/>
        <w:color w:val="516273"/>
        <w:sz w:val="16"/>
      </w:rPr>
      <w:t>Listing Fraud Pre-Check  |  Portfolio Case Study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